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EAF" w:rsidRDefault="00071EA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71EAF" w:rsidRDefault="00071EAF">
      <w:pPr>
        <w:pStyle w:val="ConsPlusNormal"/>
        <w:outlineLvl w:val="0"/>
      </w:pPr>
    </w:p>
    <w:p w:rsidR="00071EAF" w:rsidRDefault="00071EAF">
      <w:pPr>
        <w:pStyle w:val="ConsPlusTitle"/>
        <w:jc w:val="center"/>
      </w:pPr>
      <w:r>
        <w:t>РЕГИОНАЛЬНАЯ СЛУЖБА ПО ТАРИФАМ</w:t>
      </w:r>
    </w:p>
    <w:p w:rsidR="00071EAF" w:rsidRDefault="00071EAF">
      <w:pPr>
        <w:pStyle w:val="ConsPlusTitle"/>
        <w:jc w:val="center"/>
      </w:pPr>
      <w:r>
        <w:t>ХАНТЫ-МАНСИЙСКОГО АВТОНОМНОГО ОКРУГА - ЮГРЫ</w:t>
      </w:r>
    </w:p>
    <w:p w:rsidR="00071EAF" w:rsidRDefault="00071EAF">
      <w:pPr>
        <w:pStyle w:val="ConsPlusTitle"/>
        <w:jc w:val="center"/>
      </w:pPr>
      <w:r>
        <w:t>(РСТ ЮГРЫ)</w:t>
      </w:r>
    </w:p>
    <w:p w:rsidR="00071EAF" w:rsidRDefault="00071EAF">
      <w:pPr>
        <w:pStyle w:val="ConsPlusTitle"/>
        <w:jc w:val="center"/>
      </w:pPr>
    </w:p>
    <w:p w:rsidR="00071EAF" w:rsidRDefault="00071EAF">
      <w:pPr>
        <w:pStyle w:val="ConsPlusTitle"/>
        <w:jc w:val="center"/>
      </w:pPr>
      <w:r>
        <w:t>ПРИКАЗ</w:t>
      </w:r>
    </w:p>
    <w:p w:rsidR="00071EAF" w:rsidRDefault="00071EAF">
      <w:pPr>
        <w:pStyle w:val="ConsPlusTitle"/>
        <w:jc w:val="center"/>
      </w:pPr>
      <w:r>
        <w:t>от 26 мая 2026 г. N 20-нп</w:t>
      </w:r>
    </w:p>
    <w:p w:rsidR="00071EAF" w:rsidRDefault="00071EAF">
      <w:pPr>
        <w:pStyle w:val="ConsPlusTitle"/>
        <w:jc w:val="center"/>
      </w:pPr>
    </w:p>
    <w:p w:rsidR="00071EAF" w:rsidRDefault="00071EAF">
      <w:pPr>
        <w:pStyle w:val="ConsPlusTitle"/>
        <w:jc w:val="center"/>
      </w:pPr>
      <w:r>
        <w:t>О ВНЕСЕНИИ ИЗМЕНЕНИЙ В ПРИКАЗ РЕГИОНАЛЬНОЙ СЛУЖБЫ ПО ТАРИФАМ</w:t>
      </w:r>
    </w:p>
    <w:p w:rsidR="00071EAF" w:rsidRDefault="00071EAF">
      <w:pPr>
        <w:pStyle w:val="ConsPlusTitle"/>
        <w:jc w:val="center"/>
      </w:pPr>
      <w:r>
        <w:t>ХАНТЫ-МАНСИЙСКОГО АВТОНОМНОГО ОКРУГА - ЮГРЫ ОТ 14 НОЯБРЯ</w:t>
      </w:r>
    </w:p>
    <w:p w:rsidR="00071EAF" w:rsidRDefault="00071EAF">
      <w:pPr>
        <w:pStyle w:val="ConsPlusTitle"/>
        <w:jc w:val="center"/>
      </w:pPr>
      <w:r>
        <w:t>2024 ГОДА N 65-НП "ОБ УСТАНОВЛЕНИИ СПЕЦИАЛЬНЫХ НАДБАВОК</w:t>
      </w:r>
    </w:p>
    <w:p w:rsidR="00071EAF" w:rsidRDefault="00071EAF">
      <w:pPr>
        <w:pStyle w:val="ConsPlusTitle"/>
        <w:jc w:val="center"/>
      </w:pPr>
      <w:r>
        <w:t>К ТАРИФАМ НА УСЛУГИ ПО ТРАНСПОРТИРОВКЕ ГАЗА</w:t>
      </w:r>
    </w:p>
    <w:p w:rsidR="00071EAF" w:rsidRDefault="00071EAF">
      <w:pPr>
        <w:pStyle w:val="ConsPlusTitle"/>
        <w:jc w:val="center"/>
      </w:pPr>
      <w:r>
        <w:t>ПО ГАЗОРАСПРЕДЕЛИТЕЛЬНЫМ СЕТЯМ, ПРЕДНАЗНАЧЕННЫХ</w:t>
      </w:r>
    </w:p>
    <w:p w:rsidR="00071EAF" w:rsidRDefault="00071EAF">
      <w:pPr>
        <w:pStyle w:val="ConsPlusTitle"/>
        <w:jc w:val="center"/>
      </w:pPr>
      <w:r>
        <w:t>ДЛЯ ФИНАНСИРОВАНИЯ РЕГИОНАЛЬНОЙ ПРОГРАММЫ ГАЗИФИКАЦИИ</w:t>
      </w:r>
    </w:p>
    <w:p w:rsidR="00071EAF" w:rsidRDefault="00071EAF">
      <w:pPr>
        <w:pStyle w:val="ConsPlusTitle"/>
        <w:jc w:val="center"/>
      </w:pPr>
      <w:r>
        <w:t>ЖИЛИЩНО-КОММУНАЛЬНОГО ХОЗЯЙСТВА, ПРОМЫШЛЕННЫХ И ИНЫХ</w:t>
      </w:r>
    </w:p>
    <w:p w:rsidR="00071EAF" w:rsidRDefault="00071EAF">
      <w:pPr>
        <w:pStyle w:val="ConsPlusTitle"/>
        <w:jc w:val="center"/>
      </w:pPr>
      <w:r>
        <w:t>ОРГАНИЗАЦИЙ НА ТЕРРИТОРИИ ХАНТЫ-МАНСИЙСКОГО АВТОНОМНОГО</w:t>
      </w:r>
    </w:p>
    <w:p w:rsidR="00071EAF" w:rsidRDefault="00071EAF">
      <w:pPr>
        <w:pStyle w:val="ConsPlusTitle"/>
        <w:jc w:val="center"/>
      </w:pPr>
      <w:r>
        <w:t>ОКРУГА - ЮГРЫ"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постановлениями Правительства Российской Федерации от 29 декабря 2000 года </w:t>
      </w:r>
      <w:hyperlink r:id="rId6">
        <w:r>
          <w:rPr>
            <w:color w:val="0000FF"/>
          </w:rPr>
          <w:t>N 1021</w:t>
        </w:r>
      </w:hyperlink>
      <w:r>
        <w:t xml:space="preserve"> "О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оборудования", от 3 мая 2001 года </w:t>
      </w:r>
      <w:hyperlink r:id="rId7">
        <w:r>
          <w:rPr>
            <w:color w:val="0000FF"/>
          </w:rPr>
          <w:t>N 335</w:t>
        </w:r>
      </w:hyperlink>
      <w:r>
        <w:t xml:space="preserve"> "О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жилищно-коммунального хозяйства, промышленных и иных организаций, расположенных на территориях субъектов Российской Федерации", </w:t>
      </w:r>
      <w:hyperlink r:id="rId8">
        <w:r>
          <w:rPr>
            <w:color w:val="0000FF"/>
          </w:rPr>
          <w:t>приказом</w:t>
        </w:r>
      </w:hyperlink>
      <w:r>
        <w:t xml:space="preserve"> Федеральной службы по тарифам от 21 июня 2011 года N 154-э/4 "Об утверждении Методики определения размера специальных надбавок к тарифам на транспортировку газа газораспределительными организациями для финансирования программ газификации", </w:t>
      </w:r>
      <w:hyperlink r:id="rId9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14 апреля 2012 года N 137-п "О Региональной службе по тарифам Ханты-Мансийского автономного округа - Югры", </w:t>
      </w:r>
      <w:hyperlink r:id="rId10">
        <w:r>
          <w:rPr>
            <w:color w:val="0000FF"/>
          </w:rPr>
          <w:t>распоряжением</w:t>
        </w:r>
      </w:hyperlink>
      <w:r>
        <w:t xml:space="preserve"> Правительства Ханты-Мансийского автономного округа - Югры от 24 декабря 2021 года N 726-рп "О региональной программе газификации жилищно-коммунального хозяйства, промышленных и иных организаций Ханты-Мансийского автономного округа - Югры до 2030 года", на основании протокола правления Региональной службы по тарифам Ханты-Мансийского автономного округа - Югры от 26 мая 2026 года N 20 приказываю:</w:t>
      </w:r>
    </w:p>
    <w:p w:rsidR="00071EAF" w:rsidRDefault="00071EAF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11">
        <w:r>
          <w:rPr>
            <w:color w:val="0000FF"/>
          </w:rPr>
          <w:t>приказ</w:t>
        </w:r>
      </w:hyperlink>
      <w:r>
        <w:t xml:space="preserve"> Региональной службы по тарифам Ханты-Мансийского автономного округа - Югры от 14 ноября 2024 года N 65-нп "Об установлении специальных надбавок к тарифам на услуги по транспортировке газа по газораспределительным сетям, предназначенных для финансирования региональной программы газификации жилищно-коммунального хозяйства, промышленных и иных организаций на территории Ханты-Мансийского автономного округа - Югры" следующие изменения:</w:t>
      </w:r>
    </w:p>
    <w:p w:rsidR="00071EAF" w:rsidRDefault="00071EAF">
      <w:pPr>
        <w:pStyle w:val="ConsPlusNormal"/>
        <w:spacing w:before="220"/>
        <w:ind w:firstLine="540"/>
        <w:jc w:val="both"/>
      </w:pPr>
      <w:r>
        <w:lastRenderedPageBreak/>
        <w:t xml:space="preserve">1.1. В </w:t>
      </w:r>
      <w:hyperlink r:id="rId12">
        <w:r>
          <w:rPr>
            <w:color w:val="0000FF"/>
          </w:rPr>
          <w:t>преамбуле</w:t>
        </w:r>
      </w:hyperlink>
      <w:r>
        <w:t xml:space="preserve"> после слов "от месторождений природного газа до магистрального газопровода" дополнить словами ",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оборудования".</w:t>
      </w:r>
    </w:p>
    <w:p w:rsidR="00071EAF" w:rsidRDefault="00071EAF">
      <w:pPr>
        <w:pStyle w:val="ConsPlusNormal"/>
        <w:spacing w:before="220"/>
        <w:ind w:firstLine="540"/>
        <w:jc w:val="both"/>
      </w:pPr>
      <w:r>
        <w:t xml:space="preserve">1.2. </w:t>
      </w:r>
      <w:hyperlink r:id="rId13">
        <w:r>
          <w:rPr>
            <w:color w:val="0000FF"/>
          </w:rPr>
          <w:t>Таблицу</w:t>
        </w:r>
      </w:hyperlink>
      <w:r>
        <w:t xml:space="preserve"> приложения 1 изложить в следующей редакции: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jc w:val="both"/>
      </w:pPr>
      <w:r>
        <w:t>"</w:t>
      </w:r>
    </w:p>
    <w:p w:rsidR="00071EAF" w:rsidRDefault="00071EAF">
      <w:pPr>
        <w:pStyle w:val="ConsPlusNormal"/>
        <w:sectPr w:rsidR="00071EAF" w:rsidSect="002311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6"/>
        <w:gridCol w:w="2721"/>
        <w:gridCol w:w="911"/>
        <w:gridCol w:w="1155"/>
        <w:gridCol w:w="1824"/>
        <w:gridCol w:w="1763"/>
        <w:gridCol w:w="1763"/>
        <w:gridCol w:w="1763"/>
        <w:gridCol w:w="1824"/>
        <w:gridCol w:w="1824"/>
      </w:tblGrid>
      <w:tr w:rsidR="00071EAF">
        <w:tc>
          <w:tcPr>
            <w:tcW w:w="454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539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t>Наименование газораспределительной организации</w:t>
            </w:r>
          </w:p>
        </w:tc>
        <w:tc>
          <w:tcPr>
            <w:tcW w:w="11962" w:type="dxa"/>
            <w:gridSpan w:val="8"/>
          </w:tcPr>
          <w:p w:rsidR="00071EAF" w:rsidRDefault="00071EAF">
            <w:pPr>
              <w:pStyle w:val="ConsPlusNormal"/>
              <w:jc w:val="center"/>
            </w:pPr>
            <w:r>
              <w:t>Размер специальной надбавки к тарифам на услуги по транспортировке газа по газораспределительным сетям (руб./1000 м</w:t>
            </w:r>
            <w:r>
              <w:rPr>
                <w:vertAlign w:val="superscript"/>
              </w:rPr>
              <w:t>3</w:t>
            </w:r>
            <w:r>
              <w:t>) по группам потребителей с объемом потребления газа (млн. м</w:t>
            </w:r>
            <w:r>
              <w:rPr>
                <w:vertAlign w:val="superscript"/>
              </w:rPr>
              <w:t>3</w:t>
            </w:r>
            <w:r>
              <w:t>/год), без НДС</w:t>
            </w:r>
          </w:p>
        </w:tc>
      </w:tr>
      <w:tr w:rsidR="00071EAF"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850" w:type="dxa"/>
          </w:tcPr>
          <w:p w:rsidR="00071EAF" w:rsidRDefault="00071EAF">
            <w:pPr>
              <w:pStyle w:val="ConsPlusNormal"/>
              <w:jc w:val="center"/>
            </w:pPr>
            <w:r>
              <w:t>свыше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  <w:jc w:val="center"/>
            </w:pPr>
            <w:r>
              <w:t>от 500 млн. м</w:t>
            </w:r>
            <w:r>
              <w:rPr>
                <w:vertAlign w:val="superscript"/>
              </w:rPr>
              <w:t>3</w:t>
            </w:r>
            <w:r>
              <w:t xml:space="preserve"> в год до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от 100 млн. м</w:t>
            </w:r>
            <w:r>
              <w:rPr>
                <w:vertAlign w:val="superscript"/>
              </w:rPr>
              <w:t>3</w:t>
            </w:r>
            <w:r>
              <w:t xml:space="preserve"> до 500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10 до 100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 до 10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0,1 до 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от 0,01 до 0,1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до 0,01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</w:tr>
      <w:tr w:rsidR="00071EAF">
        <w:tc>
          <w:tcPr>
            <w:tcW w:w="14955" w:type="dxa"/>
            <w:gridSpan w:val="10"/>
          </w:tcPr>
          <w:p w:rsidR="00071EAF" w:rsidRDefault="00071EAF">
            <w:pPr>
              <w:pStyle w:val="ConsPlusNormal"/>
            </w:pPr>
            <w:r>
              <w:t>с 1 июня 2026 года</w:t>
            </w:r>
          </w:p>
        </w:tc>
      </w:tr>
      <w:tr w:rsidR="00071EAF">
        <w:tc>
          <w:tcPr>
            <w:tcW w:w="454" w:type="dxa"/>
          </w:tcPr>
          <w:p w:rsidR="00071EAF" w:rsidRDefault="00071EAF">
            <w:pPr>
              <w:pStyle w:val="ConsPlusNormal"/>
            </w:pPr>
            <w:r>
              <w:t>1.</w:t>
            </w:r>
          </w:p>
        </w:tc>
        <w:tc>
          <w:tcPr>
            <w:tcW w:w="2539" w:type="dxa"/>
          </w:tcPr>
          <w:p w:rsidR="00071EAF" w:rsidRDefault="00071EAF">
            <w:pPr>
              <w:pStyle w:val="ConsPlusNormal"/>
            </w:pPr>
            <w:r>
              <w:t>АО "Когалымгоргаз"</w:t>
            </w:r>
          </w:p>
        </w:tc>
        <w:tc>
          <w:tcPr>
            <w:tcW w:w="850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182,52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255,54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296,61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365,06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440,52</w:t>
            </w:r>
          </w:p>
        </w:tc>
      </w:tr>
      <w:tr w:rsidR="00071EAF">
        <w:tc>
          <w:tcPr>
            <w:tcW w:w="454" w:type="dxa"/>
          </w:tcPr>
          <w:p w:rsidR="00071EAF" w:rsidRDefault="00071EAF">
            <w:pPr>
              <w:pStyle w:val="ConsPlusNormal"/>
            </w:pPr>
            <w:r>
              <w:t>2.</w:t>
            </w:r>
          </w:p>
        </w:tc>
        <w:tc>
          <w:tcPr>
            <w:tcW w:w="2539" w:type="dxa"/>
          </w:tcPr>
          <w:p w:rsidR="00071EAF" w:rsidRDefault="00071EAF">
            <w:pPr>
              <w:pStyle w:val="ConsPlusNormal"/>
            </w:pPr>
            <w:r>
              <w:t>МП "Ханты-Мансийскгаз"</w:t>
            </w:r>
          </w:p>
        </w:tc>
        <w:tc>
          <w:tcPr>
            <w:tcW w:w="850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473,50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631,61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789,21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986,50</w:t>
            </w:r>
          </w:p>
        </w:tc>
      </w:tr>
      <w:tr w:rsidR="00071EAF">
        <w:tc>
          <w:tcPr>
            <w:tcW w:w="454" w:type="dxa"/>
          </w:tcPr>
          <w:p w:rsidR="00071EAF" w:rsidRDefault="00071EAF">
            <w:pPr>
              <w:pStyle w:val="ConsPlusNormal"/>
            </w:pPr>
            <w:r>
              <w:t>3.</w:t>
            </w:r>
          </w:p>
        </w:tc>
        <w:tc>
          <w:tcPr>
            <w:tcW w:w="2539" w:type="dxa"/>
          </w:tcPr>
          <w:p w:rsidR="00071EAF" w:rsidRDefault="00071EAF">
            <w:pPr>
              <w:pStyle w:val="ConsPlusNormal"/>
            </w:pPr>
            <w:r>
              <w:t>ООО "Няганские газораспределительные сети"</w:t>
            </w:r>
          </w:p>
        </w:tc>
        <w:tc>
          <w:tcPr>
            <w:tcW w:w="850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129,17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180,84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198,60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203,44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208,28</w:t>
            </w:r>
          </w:p>
        </w:tc>
      </w:tr>
    </w:tbl>
    <w:p w:rsidR="00071EAF" w:rsidRDefault="00071EAF">
      <w:pPr>
        <w:pStyle w:val="ConsPlusNormal"/>
        <w:spacing w:before="220"/>
        <w:jc w:val="right"/>
      </w:pPr>
      <w:r>
        <w:t>".</w:t>
      </w:r>
    </w:p>
    <w:p w:rsidR="00071EAF" w:rsidRDefault="00071EAF">
      <w:pPr>
        <w:pStyle w:val="ConsPlusNormal"/>
        <w:jc w:val="right"/>
      </w:pPr>
    </w:p>
    <w:p w:rsidR="00071EAF" w:rsidRDefault="00071EAF">
      <w:pPr>
        <w:pStyle w:val="ConsPlusNormal"/>
        <w:ind w:firstLine="540"/>
        <w:jc w:val="both"/>
      </w:pPr>
      <w:r>
        <w:t xml:space="preserve">1.3. </w:t>
      </w:r>
      <w:hyperlink r:id="rId14">
        <w:r>
          <w:rPr>
            <w:color w:val="0000FF"/>
          </w:rPr>
          <w:t>Таблицу</w:t>
        </w:r>
      </w:hyperlink>
      <w:r>
        <w:t xml:space="preserve"> приложения 2 изложить в следующей редакции: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jc w:val="both"/>
      </w:pPr>
      <w:r>
        <w:t>"</w:t>
      </w:r>
    </w:p>
    <w:p w:rsidR="00071EAF" w:rsidRDefault="00071EAF">
      <w:pPr>
        <w:pStyle w:val="ConsPlusNormal"/>
        <w:spacing w:after="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2719"/>
        <w:gridCol w:w="916"/>
        <w:gridCol w:w="1160"/>
        <w:gridCol w:w="1833"/>
        <w:gridCol w:w="1771"/>
        <w:gridCol w:w="1771"/>
        <w:gridCol w:w="1771"/>
        <w:gridCol w:w="1771"/>
        <w:gridCol w:w="1833"/>
      </w:tblGrid>
      <w:tr w:rsidR="00071EAF">
        <w:tc>
          <w:tcPr>
            <w:tcW w:w="454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24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t>Наименование газораспределительной организации</w:t>
            </w:r>
          </w:p>
        </w:tc>
        <w:tc>
          <w:tcPr>
            <w:tcW w:w="11905" w:type="dxa"/>
            <w:gridSpan w:val="8"/>
          </w:tcPr>
          <w:p w:rsidR="00071EAF" w:rsidRDefault="00071EAF">
            <w:pPr>
              <w:pStyle w:val="ConsPlusNormal"/>
              <w:jc w:val="center"/>
            </w:pPr>
            <w:r>
              <w:t>Размер специальной надбавки к тарифам на услуги по транспортировке газа по газораспределительным сетям (руб./1000 м</w:t>
            </w:r>
            <w:r>
              <w:rPr>
                <w:vertAlign w:val="superscript"/>
              </w:rPr>
              <w:t>3</w:t>
            </w:r>
            <w:r>
              <w:t>) по группам потребителей с объемом потребления газа (млн. м</w:t>
            </w:r>
            <w:r>
              <w:rPr>
                <w:vertAlign w:val="superscript"/>
              </w:rPr>
              <w:t>3</w:t>
            </w:r>
            <w:r>
              <w:t>/год), без НДС</w:t>
            </w:r>
          </w:p>
        </w:tc>
      </w:tr>
      <w:tr w:rsidR="00071EAF"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850" w:type="dxa"/>
          </w:tcPr>
          <w:p w:rsidR="00071EAF" w:rsidRDefault="00071EAF">
            <w:pPr>
              <w:pStyle w:val="ConsPlusNormal"/>
              <w:jc w:val="center"/>
            </w:pPr>
            <w:r>
              <w:t>свыше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  <w:jc w:val="center"/>
            </w:pPr>
            <w:r>
              <w:t>от 500 млн. м</w:t>
            </w:r>
            <w:r>
              <w:rPr>
                <w:vertAlign w:val="superscript"/>
              </w:rPr>
              <w:t>3</w:t>
            </w:r>
            <w:r>
              <w:t xml:space="preserve"> в год до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от 100 млн. м</w:t>
            </w:r>
            <w:r>
              <w:rPr>
                <w:vertAlign w:val="superscript"/>
              </w:rPr>
              <w:t>3</w:t>
            </w:r>
            <w:r>
              <w:t xml:space="preserve"> до 500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10 до 100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 до 10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0,1 до 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0,01 до 0,1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до 0,01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</w:tr>
      <w:tr w:rsidR="00071EAF">
        <w:tc>
          <w:tcPr>
            <w:tcW w:w="14883" w:type="dxa"/>
            <w:gridSpan w:val="10"/>
          </w:tcPr>
          <w:p w:rsidR="00071EAF" w:rsidRDefault="00071EAF">
            <w:pPr>
              <w:pStyle w:val="ConsPlusNormal"/>
            </w:pPr>
            <w:r>
              <w:lastRenderedPageBreak/>
              <w:t>с 1 июня 2026 года</w:t>
            </w:r>
          </w:p>
        </w:tc>
      </w:tr>
      <w:tr w:rsidR="00071EAF">
        <w:tc>
          <w:tcPr>
            <w:tcW w:w="454" w:type="dxa"/>
          </w:tcPr>
          <w:p w:rsidR="00071EAF" w:rsidRDefault="00071EAF">
            <w:pPr>
              <w:pStyle w:val="ConsPlusNormal"/>
            </w:pPr>
            <w:r>
              <w:t>1.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ООО "Шаимгаз"</w:t>
            </w:r>
          </w:p>
        </w:tc>
        <w:tc>
          <w:tcPr>
            <w:tcW w:w="850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374,57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561,86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618,00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674,24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732,75</w:t>
            </w:r>
          </w:p>
        </w:tc>
      </w:tr>
    </w:tbl>
    <w:p w:rsidR="00071EAF" w:rsidRDefault="00071EAF">
      <w:pPr>
        <w:pStyle w:val="ConsPlusNormal"/>
        <w:spacing w:before="220"/>
        <w:jc w:val="right"/>
      </w:pPr>
      <w:r>
        <w:t>".</w:t>
      </w:r>
    </w:p>
    <w:p w:rsidR="00071EAF" w:rsidRDefault="00071EAF">
      <w:pPr>
        <w:pStyle w:val="ConsPlusNormal"/>
        <w:jc w:val="right"/>
      </w:pPr>
    </w:p>
    <w:p w:rsidR="00071EAF" w:rsidRDefault="00071EAF">
      <w:pPr>
        <w:pStyle w:val="ConsPlusNormal"/>
        <w:ind w:firstLine="540"/>
        <w:jc w:val="both"/>
      </w:pPr>
      <w:r>
        <w:t xml:space="preserve">1.4. </w:t>
      </w:r>
      <w:hyperlink r:id="rId15">
        <w:r>
          <w:rPr>
            <w:color w:val="0000FF"/>
          </w:rPr>
          <w:t>Таблицу</w:t>
        </w:r>
      </w:hyperlink>
      <w:r>
        <w:t xml:space="preserve"> приложения 3 изложить в следующей редакции: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jc w:val="both"/>
      </w:pPr>
      <w:r>
        <w:t>"</w:t>
      </w:r>
    </w:p>
    <w:p w:rsidR="00071EAF" w:rsidRDefault="00071EAF">
      <w:pPr>
        <w:pStyle w:val="ConsPlusNormal"/>
        <w:spacing w:after="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698"/>
        <w:gridCol w:w="970"/>
        <w:gridCol w:w="1152"/>
        <w:gridCol w:w="1819"/>
        <w:gridCol w:w="1758"/>
        <w:gridCol w:w="1758"/>
        <w:gridCol w:w="1758"/>
        <w:gridCol w:w="1758"/>
        <w:gridCol w:w="1819"/>
      </w:tblGrid>
      <w:tr w:rsidR="00071EAF">
        <w:tc>
          <w:tcPr>
            <w:tcW w:w="510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24" w:type="dxa"/>
            <w:vMerge w:val="restart"/>
          </w:tcPr>
          <w:p w:rsidR="00071EAF" w:rsidRDefault="00071EAF">
            <w:pPr>
              <w:pStyle w:val="ConsPlusNormal"/>
              <w:jc w:val="center"/>
            </w:pPr>
            <w:r>
              <w:t>Наименование газораспределительной организации</w:t>
            </w:r>
          </w:p>
        </w:tc>
        <w:tc>
          <w:tcPr>
            <w:tcW w:w="11962" w:type="dxa"/>
            <w:gridSpan w:val="8"/>
          </w:tcPr>
          <w:p w:rsidR="00071EAF" w:rsidRDefault="00071EAF">
            <w:pPr>
              <w:pStyle w:val="ConsPlusNormal"/>
              <w:jc w:val="center"/>
            </w:pPr>
            <w:r>
              <w:t>Размер специальной надбавки к тарифам на услуги по транспортировке газа по газораспределительным сетям (руб./1000 м</w:t>
            </w:r>
            <w:r>
              <w:rPr>
                <w:vertAlign w:val="superscript"/>
              </w:rPr>
              <w:t>3</w:t>
            </w:r>
            <w:r>
              <w:t>) по группам потребителей с объемом потребления газа (млн. м</w:t>
            </w:r>
            <w:r>
              <w:rPr>
                <w:vertAlign w:val="superscript"/>
              </w:rPr>
              <w:t>3</w:t>
            </w:r>
            <w:r>
              <w:t>/год), без НДС</w:t>
            </w:r>
          </w:p>
        </w:tc>
      </w:tr>
      <w:tr w:rsidR="00071EAF"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0" w:type="auto"/>
            <w:vMerge/>
          </w:tcPr>
          <w:p w:rsidR="00071EAF" w:rsidRDefault="00071EAF">
            <w:pPr>
              <w:pStyle w:val="ConsPlusNormal"/>
            </w:pPr>
          </w:p>
        </w:tc>
        <w:tc>
          <w:tcPr>
            <w:tcW w:w="907" w:type="dxa"/>
          </w:tcPr>
          <w:p w:rsidR="00071EAF" w:rsidRDefault="00071EAF">
            <w:pPr>
              <w:pStyle w:val="ConsPlusNormal"/>
              <w:jc w:val="center"/>
            </w:pPr>
            <w:r>
              <w:t>свыше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  <w:jc w:val="center"/>
            </w:pPr>
            <w:r>
              <w:t>от 500 млн. м</w:t>
            </w:r>
            <w:r>
              <w:rPr>
                <w:vertAlign w:val="superscript"/>
              </w:rPr>
              <w:t>3</w:t>
            </w:r>
            <w:r>
              <w:t xml:space="preserve"> в год до 1 млрд. м</w:t>
            </w:r>
            <w:r>
              <w:rPr>
                <w:vertAlign w:val="superscript"/>
              </w:rPr>
              <w:t>3</w:t>
            </w:r>
            <w:r>
              <w:t xml:space="preserve"> в год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от 100 млн. м</w:t>
            </w:r>
            <w:r>
              <w:rPr>
                <w:vertAlign w:val="superscript"/>
              </w:rPr>
              <w:t>3</w:t>
            </w:r>
            <w:r>
              <w:t xml:space="preserve"> до 500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10 до 100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1 до 10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0,1 до 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  <w:jc w:val="center"/>
            </w:pPr>
            <w:r>
              <w:t>от 0,01 до 0,1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  <w:jc w:val="center"/>
            </w:pPr>
            <w:r>
              <w:t>до 0,01 млн. м</w:t>
            </w:r>
            <w:r>
              <w:rPr>
                <w:vertAlign w:val="superscript"/>
              </w:rPr>
              <w:t>3</w:t>
            </w:r>
            <w:r>
              <w:t xml:space="preserve"> в год включительно</w:t>
            </w:r>
          </w:p>
        </w:tc>
      </w:tr>
      <w:tr w:rsidR="00071EAF">
        <w:tc>
          <w:tcPr>
            <w:tcW w:w="14996" w:type="dxa"/>
            <w:gridSpan w:val="10"/>
          </w:tcPr>
          <w:p w:rsidR="00071EAF" w:rsidRDefault="00071EAF">
            <w:pPr>
              <w:pStyle w:val="ConsPlusNormal"/>
            </w:pPr>
            <w:r>
              <w:t>с 1 июня 2026 года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АО "Газпром газораспределение Север"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1.1.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Белоярский район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368,09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529,09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552,11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575,13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598,10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1.2.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Нефтеюганский район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218,82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300,90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355,59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492,35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683,84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1.3.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Октябрьский район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295,21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332,77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527,73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704,40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830,53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1.4.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Советский район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137,62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206,43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227,04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246,83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285,55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1.5.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г. Югорск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145,94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218,91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240,81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261,78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302,83</w:t>
            </w:r>
          </w:p>
        </w:tc>
      </w:tr>
      <w:tr w:rsidR="00071EAF">
        <w:tc>
          <w:tcPr>
            <w:tcW w:w="510" w:type="dxa"/>
          </w:tcPr>
          <w:p w:rsidR="00071EAF" w:rsidRDefault="00071EAF">
            <w:pPr>
              <w:pStyle w:val="ConsPlusNormal"/>
            </w:pPr>
            <w:r>
              <w:t>1.6.</w:t>
            </w:r>
          </w:p>
        </w:tc>
        <w:tc>
          <w:tcPr>
            <w:tcW w:w="2524" w:type="dxa"/>
          </w:tcPr>
          <w:p w:rsidR="00071EAF" w:rsidRDefault="00071EAF">
            <w:pPr>
              <w:pStyle w:val="ConsPlusNormal"/>
            </w:pPr>
            <w:r>
              <w:t>Сургутский район</w:t>
            </w:r>
          </w:p>
        </w:tc>
        <w:tc>
          <w:tcPr>
            <w:tcW w:w="90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077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-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80,53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107,37</w:t>
            </w:r>
          </w:p>
        </w:tc>
        <w:tc>
          <w:tcPr>
            <w:tcW w:w="1644" w:type="dxa"/>
          </w:tcPr>
          <w:p w:rsidR="00071EAF" w:rsidRDefault="00071EAF">
            <w:pPr>
              <w:pStyle w:val="ConsPlusNormal"/>
            </w:pPr>
            <w:r>
              <w:t>134,22</w:t>
            </w:r>
          </w:p>
        </w:tc>
        <w:tc>
          <w:tcPr>
            <w:tcW w:w="1701" w:type="dxa"/>
          </w:tcPr>
          <w:p w:rsidR="00071EAF" w:rsidRDefault="00071EAF">
            <w:pPr>
              <w:pStyle w:val="ConsPlusNormal"/>
            </w:pPr>
            <w:r>
              <w:t>167,76</w:t>
            </w:r>
          </w:p>
        </w:tc>
      </w:tr>
    </w:tbl>
    <w:p w:rsidR="00071EAF" w:rsidRDefault="00071EAF">
      <w:pPr>
        <w:pStyle w:val="ConsPlusNormal"/>
        <w:spacing w:before="220"/>
        <w:jc w:val="right"/>
      </w:pPr>
      <w:r>
        <w:lastRenderedPageBreak/>
        <w:t>".</w:t>
      </w:r>
    </w:p>
    <w:p w:rsidR="00071EAF" w:rsidRDefault="00071EAF">
      <w:pPr>
        <w:pStyle w:val="ConsPlusNormal"/>
        <w:jc w:val="right"/>
      </w:pPr>
    </w:p>
    <w:p w:rsidR="00071EAF" w:rsidRDefault="00071EAF">
      <w:pPr>
        <w:pStyle w:val="ConsPlusNormal"/>
        <w:ind w:firstLine="540"/>
        <w:jc w:val="both"/>
      </w:pPr>
      <w:r>
        <w:t>2. Настоящий приказ вступает в силу со дня его официального опубликования и распространяет свое действие на правоотношения, возникшие с 1 июня 2026 года.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jc w:val="right"/>
      </w:pPr>
      <w:r>
        <w:t>Руководитель службы</w:t>
      </w:r>
    </w:p>
    <w:p w:rsidR="00071EAF" w:rsidRDefault="00071EAF">
      <w:pPr>
        <w:pStyle w:val="ConsPlusNormal"/>
        <w:jc w:val="right"/>
      </w:pPr>
      <w:r>
        <w:t>А.А.БЕРЕЗОВСКИЙ</w:t>
      </w: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ind w:firstLine="540"/>
        <w:jc w:val="both"/>
      </w:pPr>
    </w:p>
    <w:p w:rsidR="00071EAF" w:rsidRDefault="00071E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681A" w:rsidRDefault="00071EAF">
      <w:bookmarkStart w:id="0" w:name="_GoBack"/>
      <w:bookmarkEnd w:id="0"/>
    </w:p>
    <w:sectPr w:rsidR="0046681A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EAF"/>
    <w:rsid w:val="00071EAF"/>
    <w:rsid w:val="00096834"/>
    <w:rsid w:val="0075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3AF34-AABD-47FE-BDF2-0C2B67D9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1E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1E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7032" TargetMode="External"/><Relationship Id="rId13" Type="http://schemas.openxmlformats.org/officeDocument/2006/relationships/hyperlink" Target="https://login.consultant.ru/link/?req=doc&amp;base=RLAW926&amp;n=323981&amp;dst=10016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3144" TargetMode="External"/><Relationship Id="rId12" Type="http://schemas.openxmlformats.org/officeDocument/2006/relationships/hyperlink" Target="https://login.consultant.ru/link/?req=doc&amp;base=RLAW926&amp;n=323981&amp;dst=10000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310" TargetMode="External"/><Relationship Id="rId11" Type="http://schemas.openxmlformats.org/officeDocument/2006/relationships/hyperlink" Target="https://login.consultant.ru/link/?req=doc&amp;base=RLAW926&amp;n=323981" TargetMode="External"/><Relationship Id="rId5" Type="http://schemas.openxmlformats.org/officeDocument/2006/relationships/hyperlink" Target="https://login.consultant.ru/link/?req=doc&amp;base=LAW&amp;n=529658" TargetMode="External"/><Relationship Id="rId15" Type="http://schemas.openxmlformats.org/officeDocument/2006/relationships/hyperlink" Target="https://login.consultant.ru/link/?req=doc&amp;base=RLAW926&amp;n=323981&amp;dst=100332" TargetMode="External"/><Relationship Id="rId10" Type="http://schemas.openxmlformats.org/officeDocument/2006/relationships/hyperlink" Target="https://login.consultant.ru/link/?req=doc&amp;base=RLAW926&amp;n=34708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333890" TargetMode="External"/><Relationship Id="rId14" Type="http://schemas.openxmlformats.org/officeDocument/2006/relationships/hyperlink" Target="https://login.consultant.ru/link/?req=doc&amp;base=RLAW926&amp;n=323981&amp;dst=100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2026-09-11T04:09:00Z</dcterms:created>
  <dcterms:modified xsi:type="dcterms:W3CDTF">2026-09-11T04:16:00Z</dcterms:modified>
</cp:coreProperties>
</file>